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882" w:rsidRPr="00F430FA" w:rsidRDefault="00A06882" w:rsidP="00A06882">
      <w:pPr>
        <w:keepNext/>
        <w:keepLines/>
        <w:ind w:firstLine="284"/>
        <w:jc w:val="center"/>
        <w:outlineLvl w:val="4"/>
        <w:rPr>
          <w:rFonts w:eastAsia="Calibri"/>
          <w:sz w:val="20"/>
          <w:szCs w:val="20"/>
          <w:lang w:eastAsia="en-US"/>
        </w:rPr>
      </w:pPr>
      <w:bookmarkStart w:id="0" w:name="_GoBack"/>
      <w:bookmarkEnd w:id="0"/>
      <w:r w:rsidRPr="00F430FA">
        <w:rPr>
          <w:rFonts w:eastAsia="Calibri"/>
          <w:sz w:val="20"/>
          <w:szCs w:val="20"/>
          <w:lang w:eastAsia="en-US"/>
        </w:rPr>
        <w:t>О Б Я В А</w:t>
      </w:r>
    </w:p>
    <w:p w:rsidR="00A06882" w:rsidRPr="00F430FA" w:rsidRDefault="00A06882" w:rsidP="00A06882">
      <w:pPr>
        <w:ind w:firstLine="284"/>
        <w:jc w:val="both"/>
        <w:rPr>
          <w:sz w:val="20"/>
          <w:szCs w:val="20"/>
          <w:lang w:eastAsia="en-US"/>
        </w:rPr>
      </w:pPr>
      <w:r w:rsidRPr="00F430FA">
        <w:rPr>
          <w:sz w:val="20"/>
          <w:szCs w:val="20"/>
          <w:lang w:eastAsia="en-US"/>
        </w:rPr>
        <w:t>На основание чл. 43, ал. 2, във връзка с чл. 172, ал. 3 от ЗГ, във връзка с чл. 19, ал. 2 от ЗДС и чл. 13, ал. 6 от ППЗДС и Заповед № 369/09.11.2015 г. на директора на СЗДП ДП – гр. Враца, ЦУ на СЗДП ДП – гр. Враца открива процедура за провеждане на търг с тайно наддаване за отдаване под наем за срок от 10 години на 4бр. поземлени имоти – горски територии, частна държавна собственост, по реда на ЗДС и ППЗДС, обособени в 1 позиция, както следва:</w:t>
      </w:r>
    </w:p>
    <w:p w:rsidR="00A06882" w:rsidRPr="00F430FA" w:rsidRDefault="00A06882" w:rsidP="00A06882">
      <w:pPr>
        <w:ind w:firstLine="284"/>
        <w:jc w:val="both"/>
        <w:rPr>
          <w:sz w:val="20"/>
          <w:szCs w:val="20"/>
          <w:lang w:eastAsia="en-US"/>
        </w:rPr>
      </w:pPr>
    </w:p>
    <w:tbl>
      <w:tblPr>
        <w:tblW w:w="5226"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425"/>
        <w:gridCol w:w="953"/>
        <w:gridCol w:w="2809"/>
        <w:gridCol w:w="1212"/>
        <w:gridCol w:w="1003"/>
        <w:gridCol w:w="957"/>
        <w:gridCol w:w="1092"/>
      </w:tblGrid>
      <w:tr w:rsidR="00A06882" w:rsidRPr="00F430FA" w:rsidTr="00E25C7B">
        <w:trPr>
          <w:trHeight w:val="500"/>
          <w:jc w:val="center"/>
        </w:trPr>
        <w:tc>
          <w:tcPr>
            <w:tcW w:w="734" w:type="pct"/>
            <w:tcBorders>
              <w:top w:val="double" w:sz="4" w:space="0" w:color="auto"/>
              <w:bottom w:val="double" w:sz="4" w:space="0" w:color="auto"/>
            </w:tcBorders>
            <w:vAlign w:val="center"/>
          </w:tcPr>
          <w:p w:rsidR="00A06882" w:rsidRPr="00F430FA" w:rsidRDefault="00A06882" w:rsidP="00E25C7B">
            <w:pPr>
              <w:tabs>
                <w:tab w:val="left" w:pos="10093"/>
              </w:tabs>
              <w:jc w:val="center"/>
              <w:rPr>
                <w:sz w:val="20"/>
                <w:szCs w:val="20"/>
                <w:lang w:eastAsia="en-US"/>
              </w:rPr>
            </w:pPr>
            <w:r w:rsidRPr="00F430FA">
              <w:rPr>
                <w:sz w:val="20"/>
                <w:szCs w:val="20"/>
                <w:lang w:eastAsia="en-US"/>
              </w:rPr>
              <w:t>ОБЕКТ:</w:t>
            </w:r>
          </w:p>
          <w:p w:rsidR="00A06882" w:rsidRPr="00F430FA" w:rsidRDefault="00A06882" w:rsidP="00E25C7B">
            <w:pPr>
              <w:tabs>
                <w:tab w:val="left" w:pos="10093"/>
              </w:tabs>
              <w:jc w:val="center"/>
              <w:rPr>
                <w:sz w:val="20"/>
                <w:szCs w:val="20"/>
                <w:lang w:eastAsia="en-US"/>
              </w:rPr>
            </w:pPr>
            <w:r w:rsidRPr="00F430FA">
              <w:rPr>
                <w:sz w:val="20"/>
                <w:szCs w:val="20"/>
                <w:lang w:eastAsia="en-US"/>
              </w:rPr>
              <w:t>Териториално поделение към СЗДП ДП – гр. Враца</w:t>
            </w:r>
          </w:p>
        </w:tc>
        <w:tc>
          <w:tcPr>
            <w:tcW w:w="491" w:type="pct"/>
            <w:tcBorders>
              <w:top w:val="double" w:sz="4" w:space="0" w:color="auto"/>
              <w:bottom w:val="double" w:sz="4" w:space="0" w:color="auto"/>
            </w:tcBorders>
            <w:vAlign w:val="center"/>
          </w:tcPr>
          <w:p w:rsidR="00A06882" w:rsidRPr="00F430FA" w:rsidRDefault="00A06882" w:rsidP="00E25C7B">
            <w:pPr>
              <w:keepNext/>
              <w:tabs>
                <w:tab w:val="left" w:pos="10093"/>
              </w:tabs>
              <w:jc w:val="center"/>
              <w:outlineLvl w:val="2"/>
              <w:rPr>
                <w:sz w:val="20"/>
                <w:szCs w:val="20"/>
                <w:lang w:eastAsia="en-US"/>
              </w:rPr>
            </w:pPr>
            <w:r w:rsidRPr="00F430FA">
              <w:rPr>
                <w:sz w:val="20"/>
                <w:szCs w:val="20"/>
                <w:lang w:eastAsia="en-US"/>
              </w:rPr>
              <w:t>Позиция</w:t>
            </w:r>
          </w:p>
          <w:p w:rsidR="00A06882" w:rsidRPr="00F430FA" w:rsidRDefault="00A06882" w:rsidP="00E25C7B">
            <w:pPr>
              <w:keepNext/>
              <w:tabs>
                <w:tab w:val="left" w:pos="10093"/>
              </w:tabs>
              <w:jc w:val="center"/>
              <w:outlineLvl w:val="2"/>
              <w:rPr>
                <w:sz w:val="20"/>
                <w:szCs w:val="20"/>
                <w:lang w:eastAsia="en-US"/>
              </w:rPr>
            </w:pPr>
            <w:r w:rsidRPr="00F430FA">
              <w:rPr>
                <w:sz w:val="20"/>
                <w:szCs w:val="20"/>
                <w:lang w:eastAsia="en-US"/>
              </w:rPr>
              <w:t>№</w:t>
            </w:r>
          </w:p>
        </w:tc>
        <w:tc>
          <w:tcPr>
            <w:tcW w:w="1525" w:type="pct"/>
            <w:tcBorders>
              <w:top w:val="double" w:sz="4" w:space="0" w:color="auto"/>
              <w:bottom w:val="double" w:sz="4" w:space="0" w:color="auto"/>
            </w:tcBorders>
            <w:vAlign w:val="center"/>
          </w:tcPr>
          <w:p w:rsidR="00A06882" w:rsidRPr="00F430FA" w:rsidRDefault="00A06882" w:rsidP="00E25C7B">
            <w:pPr>
              <w:keepNext/>
              <w:tabs>
                <w:tab w:val="left" w:pos="10093"/>
              </w:tabs>
              <w:jc w:val="center"/>
              <w:outlineLvl w:val="2"/>
              <w:rPr>
                <w:sz w:val="20"/>
                <w:szCs w:val="20"/>
                <w:lang w:eastAsia="en-US"/>
              </w:rPr>
            </w:pPr>
            <w:r w:rsidRPr="00F430FA">
              <w:rPr>
                <w:sz w:val="20"/>
                <w:szCs w:val="20"/>
                <w:lang w:eastAsia="en-US"/>
              </w:rPr>
              <w:t>Местонахождение на поземления имот:</w:t>
            </w:r>
          </w:p>
          <w:p w:rsidR="00A06882" w:rsidRPr="00F430FA" w:rsidRDefault="00A06882" w:rsidP="00E25C7B">
            <w:pPr>
              <w:keepNext/>
              <w:tabs>
                <w:tab w:val="left" w:pos="10093"/>
              </w:tabs>
              <w:jc w:val="center"/>
              <w:outlineLvl w:val="2"/>
              <w:rPr>
                <w:sz w:val="20"/>
                <w:szCs w:val="20"/>
                <w:lang w:eastAsia="en-US"/>
              </w:rPr>
            </w:pPr>
            <w:r w:rsidRPr="00F430FA">
              <w:rPr>
                <w:sz w:val="20"/>
                <w:szCs w:val="20"/>
                <w:lang w:eastAsia="en-US"/>
              </w:rPr>
              <w:t>село (землище), община, местност</w:t>
            </w:r>
          </w:p>
        </w:tc>
        <w:tc>
          <w:tcPr>
            <w:tcW w:w="624" w:type="pct"/>
            <w:tcBorders>
              <w:top w:val="double" w:sz="4" w:space="0" w:color="auto"/>
              <w:bottom w:val="double" w:sz="4" w:space="0" w:color="auto"/>
            </w:tcBorders>
            <w:vAlign w:val="center"/>
          </w:tcPr>
          <w:p w:rsidR="00A06882" w:rsidRPr="00F430FA" w:rsidRDefault="00A06882" w:rsidP="00E25C7B">
            <w:pPr>
              <w:tabs>
                <w:tab w:val="left" w:pos="10093"/>
              </w:tabs>
              <w:jc w:val="center"/>
              <w:rPr>
                <w:sz w:val="20"/>
                <w:szCs w:val="20"/>
                <w:lang w:eastAsia="en-US"/>
              </w:rPr>
            </w:pPr>
            <w:r w:rsidRPr="00F430FA">
              <w:rPr>
                <w:sz w:val="20"/>
                <w:szCs w:val="20"/>
                <w:lang w:eastAsia="en-US"/>
              </w:rPr>
              <w:t>Площ на поземления имот за отдаване под наем в дка.</w:t>
            </w:r>
          </w:p>
        </w:tc>
        <w:tc>
          <w:tcPr>
            <w:tcW w:w="569" w:type="pct"/>
            <w:tcBorders>
              <w:top w:val="double" w:sz="4" w:space="0" w:color="auto"/>
              <w:bottom w:val="double" w:sz="4" w:space="0" w:color="auto"/>
            </w:tcBorders>
            <w:vAlign w:val="center"/>
          </w:tcPr>
          <w:p w:rsidR="00A06882" w:rsidRPr="00F430FA" w:rsidRDefault="00A06882" w:rsidP="00E25C7B">
            <w:pPr>
              <w:tabs>
                <w:tab w:val="left" w:pos="10093"/>
              </w:tabs>
              <w:jc w:val="center"/>
              <w:rPr>
                <w:sz w:val="20"/>
                <w:szCs w:val="20"/>
                <w:lang w:eastAsia="en-US"/>
              </w:rPr>
            </w:pPr>
            <w:r w:rsidRPr="00F430FA">
              <w:rPr>
                <w:sz w:val="20"/>
                <w:szCs w:val="20"/>
                <w:lang w:eastAsia="en-US"/>
              </w:rPr>
              <w:t>Начална тръжна годишна наемна цена, за имота (</w:t>
            </w:r>
            <w:proofErr w:type="spellStart"/>
            <w:r w:rsidRPr="00F430FA">
              <w:rPr>
                <w:sz w:val="20"/>
                <w:szCs w:val="20"/>
                <w:lang w:eastAsia="en-US"/>
              </w:rPr>
              <w:t>лв</w:t>
            </w:r>
            <w:proofErr w:type="spellEnd"/>
            <w:r w:rsidRPr="00F430FA">
              <w:rPr>
                <w:sz w:val="20"/>
                <w:szCs w:val="20"/>
                <w:lang w:eastAsia="en-US"/>
              </w:rPr>
              <w:t>.,без ДДС)</w:t>
            </w:r>
          </w:p>
        </w:tc>
        <w:tc>
          <w:tcPr>
            <w:tcW w:w="493" w:type="pct"/>
            <w:tcBorders>
              <w:top w:val="double" w:sz="4" w:space="0" w:color="auto"/>
              <w:bottom w:val="double" w:sz="4" w:space="0" w:color="auto"/>
            </w:tcBorders>
            <w:vAlign w:val="center"/>
          </w:tcPr>
          <w:p w:rsidR="00A06882" w:rsidRPr="00F430FA" w:rsidRDefault="00A06882" w:rsidP="00E25C7B">
            <w:pPr>
              <w:tabs>
                <w:tab w:val="left" w:pos="10093"/>
              </w:tabs>
              <w:jc w:val="center"/>
              <w:rPr>
                <w:sz w:val="20"/>
                <w:szCs w:val="20"/>
                <w:lang w:eastAsia="en-US"/>
              </w:rPr>
            </w:pPr>
            <w:r w:rsidRPr="00F430FA">
              <w:rPr>
                <w:sz w:val="20"/>
                <w:szCs w:val="20"/>
                <w:lang w:eastAsia="en-US"/>
              </w:rPr>
              <w:t>Обща начална тръжна годишна наемна цена за имотите в лв., без ДДС</w:t>
            </w:r>
          </w:p>
        </w:tc>
        <w:tc>
          <w:tcPr>
            <w:tcW w:w="563" w:type="pct"/>
            <w:tcBorders>
              <w:top w:val="double" w:sz="4" w:space="0" w:color="auto"/>
              <w:bottom w:val="double" w:sz="4" w:space="0" w:color="auto"/>
            </w:tcBorders>
            <w:vAlign w:val="center"/>
          </w:tcPr>
          <w:p w:rsidR="00A06882" w:rsidRPr="00F430FA" w:rsidRDefault="00A06882" w:rsidP="00E25C7B">
            <w:pPr>
              <w:tabs>
                <w:tab w:val="left" w:pos="10093"/>
              </w:tabs>
              <w:jc w:val="center"/>
              <w:rPr>
                <w:sz w:val="20"/>
                <w:szCs w:val="20"/>
                <w:lang w:eastAsia="en-US"/>
              </w:rPr>
            </w:pPr>
            <w:r w:rsidRPr="00F430FA">
              <w:rPr>
                <w:bCs/>
                <w:color w:val="000000"/>
                <w:sz w:val="20"/>
                <w:szCs w:val="20"/>
                <w:lang w:eastAsia="en-US"/>
              </w:rPr>
              <w:t>Депозит за участие за позицията в лв</w:t>
            </w:r>
            <w:r w:rsidRPr="00F430FA">
              <w:rPr>
                <w:sz w:val="20"/>
                <w:szCs w:val="20"/>
                <w:lang w:eastAsia="en-US"/>
              </w:rPr>
              <w:t>.</w:t>
            </w:r>
          </w:p>
        </w:tc>
      </w:tr>
      <w:tr w:rsidR="00A06882" w:rsidRPr="00F430FA" w:rsidTr="00E25C7B">
        <w:trPr>
          <w:trHeight w:val="381"/>
          <w:jc w:val="center"/>
        </w:trPr>
        <w:tc>
          <w:tcPr>
            <w:tcW w:w="734" w:type="pct"/>
            <w:vMerge w:val="restart"/>
            <w:tcBorders>
              <w:top w:val="double" w:sz="4" w:space="0" w:color="auto"/>
              <w:bottom w:val="single" w:sz="4" w:space="0" w:color="auto"/>
            </w:tcBorders>
            <w:vAlign w:val="center"/>
          </w:tcPr>
          <w:p w:rsidR="00A06882" w:rsidRPr="00F430FA" w:rsidRDefault="00A06882" w:rsidP="00E25C7B">
            <w:pPr>
              <w:tabs>
                <w:tab w:val="left" w:pos="10093"/>
              </w:tabs>
              <w:jc w:val="center"/>
              <w:rPr>
                <w:sz w:val="20"/>
                <w:szCs w:val="20"/>
                <w:lang w:eastAsia="en-US"/>
              </w:rPr>
            </w:pPr>
            <w:r w:rsidRPr="00F430FA">
              <w:rPr>
                <w:b/>
                <w:sz w:val="20"/>
                <w:szCs w:val="20"/>
                <w:lang w:eastAsia="en-US"/>
              </w:rPr>
              <w:t>ТП „ДГС- Миджур</w:t>
            </w:r>
            <w:r w:rsidRPr="00F430FA">
              <w:rPr>
                <w:sz w:val="20"/>
                <w:szCs w:val="20"/>
                <w:lang w:eastAsia="en-US"/>
              </w:rPr>
              <w:t>“</w:t>
            </w:r>
          </w:p>
        </w:tc>
        <w:tc>
          <w:tcPr>
            <w:tcW w:w="491" w:type="pct"/>
            <w:vMerge w:val="restart"/>
            <w:tcBorders>
              <w:top w:val="double" w:sz="4" w:space="0" w:color="auto"/>
              <w:bottom w:val="nil"/>
            </w:tcBorders>
            <w:vAlign w:val="center"/>
          </w:tcPr>
          <w:p w:rsidR="00A06882" w:rsidRPr="00F430FA" w:rsidRDefault="00A06882" w:rsidP="00E25C7B">
            <w:pPr>
              <w:tabs>
                <w:tab w:val="left" w:pos="10093"/>
              </w:tabs>
              <w:jc w:val="center"/>
              <w:rPr>
                <w:sz w:val="20"/>
                <w:szCs w:val="20"/>
                <w:lang w:eastAsia="en-US"/>
              </w:rPr>
            </w:pPr>
            <w:r w:rsidRPr="00F430FA">
              <w:rPr>
                <w:sz w:val="20"/>
                <w:szCs w:val="20"/>
                <w:lang w:eastAsia="en-US"/>
              </w:rPr>
              <w:t>1</w:t>
            </w:r>
          </w:p>
        </w:tc>
        <w:tc>
          <w:tcPr>
            <w:tcW w:w="1525" w:type="pct"/>
            <w:tcBorders>
              <w:top w:val="double" w:sz="4" w:space="0" w:color="auto"/>
              <w:bottom w:val="double" w:sz="4" w:space="0" w:color="auto"/>
            </w:tcBorders>
            <w:vAlign w:val="center"/>
          </w:tcPr>
          <w:p w:rsidR="00A06882" w:rsidRPr="00F430FA" w:rsidRDefault="00A06882" w:rsidP="00E25C7B">
            <w:pPr>
              <w:jc w:val="center"/>
              <w:rPr>
                <w:sz w:val="20"/>
                <w:szCs w:val="20"/>
                <w:lang w:eastAsia="en-US"/>
              </w:rPr>
            </w:pPr>
            <w:r w:rsidRPr="00F430FA">
              <w:rPr>
                <w:b/>
                <w:bCs/>
                <w:sz w:val="20"/>
                <w:szCs w:val="20"/>
                <w:lang w:eastAsia="en-US"/>
              </w:rPr>
              <w:t>№ на поземлен имот</w:t>
            </w:r>
            <w:r w:rsidRPr="00F430FA">
              <w:rPr>
                <w:sz w:val="20"/>
                <w:szCs w:val="20"/>
                <w:lang w:eastAsia="en-US"/>
              </w:rPr>
              <w:t xml:space="preserve"> 198001</w:t>
            </w:r>
          </w:p>
          <w:p w:rsidR="00A06882" w:rsidRPr="00F430FA" w:rsidRDefault="00A06882" w:rsidP="00E25C7B">
            <w:pPr>
              <w:tabs>
                <w:tab w:val="left" w:pos="10093"/>
              </w:tabs>
              <w:rPr>
                <w:sz w:val="20"/>
                <w:szCs w:val="20"/>
                <w:lang w:eastAsia="en-US"/>
              </w:rPr>
            </w:pPr>
            <w:r w:rsidRPr="00F430FA">
              <w:rPr>
                <w:sz w:val="20"/>
                <w:szCs w:val="20"/>
                <w:lang w:eastAsia="en-US"/>
              </w:rPr>
              <w:t xml:space="preserve">с. Чупрене, ЕКАТТЕ 81757, общ. Чупрене, </w:t>
            </w:r>
            <w:proofErr w:type="spellStart"/>
            <w:r w:rsidRPr="00F430FA">
              <w:rPr>
                <w:sz w:val="20"/>
                <w:szCs w:val="20"/>
                <w:lang w:eastAsia="en-US"/>
              </w:rPr>
              <w:t>м.“Бела</w:t>
            </w:r>
            <w:proofErr w:type="spellEnd"/>
            <w:r w:rsidRPr="00F430FA">
              <w:rPr>
                <w:sz w:val="20"/>
                <w:szCs w:val="20"/>
                <w:lang w:eastAsia="en-US"/>
              </w:rPr>
              <w:t xml:space="preserve"> вода“</w:t>
            </w:r>
          </w:p>
        </w:tc>
        <w:tc>
          <w:tcPr>
            <w:tcW w:w="624" w:type="pct"/>
            <w:tcBorders>
              <w:top w:val="double" w:sz="4" w:space="0" w:color="auto"/>
              <w:bottom w:val="double" w:sz="4" w:space="0" w:color="auto"/>
            </w:tcBorders>
            <w:vAlign w:val="center"/>
          </w:tcPr>
          <w:p w:rsidR="00A06882" w:rsidRPr="00F430FA" w:rsidRDefault="00A06882" w:rsidP="00E25C7B">
            <w:pPr>
              <w:tabs>
                <w:tab w:val="left" w:pos="10093"/>
              </w:tabs>
              <w:jc w:val="center"/>
              <w:rPr>
                <w:sz w:val="20"/>
                <w:szCs w:val="20"/>
                <w:lang w:eastAsia="en-US"/>
              </w:rPr>
            </w:pPr>
            <w:r w:rsidRPr="00F430FA">
              <w:rPr>
                <w:sz w:val="20"/>
                <w:szCs w:val="20"/>
                <w:lang w:eastAsia="en-US"/>
              </w:rPr>
              <w:t>18,469</w:t>
            </w:r>
          </w:p>
        </w:tc>
        <w:tc>
          <w:tcPr>
            <w:tcW w:w="569" w:type="pct"/>
            <w:tcBorders>
              <w:top w:val="double" w:sz="4" w:space="0" w:color="auto"/>
              <w:bottom w:val="double" w:sz="4" w:space="0" w:color="auto"/>
            </w:tcBorders>
            <w:vAlign w:val="center"/>
          </w:tcPr>
          <w:p w:rsidR="00A06882" w:rsidRPr="00F430FA" w:rsidRDefault="00A06882" w:rsidP="00E25C7B">
            <w:pPr>
              <w:tabs>
                <w:tab w:val="left" w:pos="10093"/>
              </w:tabs>
              <w:jc w:val="center"/>
              <w:rPr>
                <w:sz w:val="20"/>
                <w:szCs w:val="20"/>
                <w:lang w:eastAsia="en-US"/>
              </w:rPr>
            </w:pPr>
            <w:r w:rsidRPr="00F430FA">
              <w:rPr>
                <w:sz w:val="20"/>
                <w:szCs w:val="20"/>
                <w:lang w:eastAsia="en-US"/>
              </w:rPr>
              <w:t>555,00</w:t>
            </w:r>
          </w:p>
        </w:tc>
        <w:tc>
          <w:tcPr>
            <w:tcW w:w="493" w:type="pct"/>
            <w:vMerge w:val="restart"/>
            <w:tcBorders>
              <w:top w:val="double" w:sz="4" w:space="0" w:color="auto"/>
              <w:bottom w:val="nil"/>
            </w:tcBorders>
            <w:vAlign w:val="center"/>
          </w:tcPr>
          <w:p w:rsidR="00A06882" w:rsidRPr="00F430FA" w:rsidRDefault="00A06882" w:rsidP="00E25C7B">
            <w:pPr>
              <w:tabs>
                <w:tab w:val="left" w:pos="10093"/>
              </w:tabs>
              <w:jc w:val="center"/>
              <w:rPr>
                <w:b/>
                <w:sz w:val="20"/>
                <w:szCs w:val="20"/>
                <w:lang w:eastAsia="en-US"/>
              </w:rPr>
            </w:pPr>
            <w:r w:rsidRPr="00F430FA">
              <w:rPr>
                <w:b/>
                <w:sz w:val="20"/>
                <w:szCs w:val="20"/>
                <w:lang w:eastAsia="en-US"/>
              </w:rPr>
              <w:t>1405,00</w:t>
            </w:r>
          </w:p>
        </w:tc>
        <w:tc>
          <w:tcPr>
            <w:tcW w:w="563" w:type="pct"/>
            <w:vMerge w:val="restart"/>
            <w:tcBorders>
              <w:top w:val="double" w:sz="4" w:space="0" w:color="auto"/>
              <w:bottom w:val="nil"/>
            </w:tcBorders>
            <w:vAlign w:val="center"/>
          </w:tcPr>
          <w:p w:rsidR="00A06882" w:rsidRPr="00F430FA" w:rsidRDefault="00A06882" w:rsidP="00E25C7B">
            <w:pPr>
              <w:tabs>
                <w:tab w:val="left" w:pos="10093"/>
              </w:tabs>
              <w:jc w:val="center"/>
              <w:rPr>
                <w:b/>
                <w:sz w:val="20"/>
                <w:szCs w:val="20"/>
                <w:lang w:eastAsia="en-US"/>
              </w:rPr>
            </w:pPr>
            <w:r w:rsidRPr="00F430FA">
              <w:rPr>
                <w:b/>
                <w:sz w:val="20"/>
                <w:szCs w:val="20"/>
                <w:lang w:eastAsia="en-US"/>
              </w:rPr>
              <w:t>140,50</w:t>
            </w:r>
          </w:p>
        </w:tc>
      </w:tr>
      <w:tr w:rsidR="00A06882" w:rsidRPr="00F430FA" w:rsidTr="00E25C7B">
        <w:trPr>
          <w:trHeight w:val="259"/>
          <w:jc w:val="center"/>
        </w:trPr>
        <w:tc>
          <w:tcPr>
            <w:tcW w:w="734" w:type="pct"/>
            <w:vMerge/>
            <w:tcBorders>
              <w:top w:val="double" w:sz="4" w:space="0" w:color="auto"/>
              <w:bottom w:val="single" w:sz="4" w:space="0" w:color="auto"/>
            </w:tcBorders>
            <w:vAlign w:val="center"/>
          </w:tcPr>
          <w:p w:rsidR="00A06882" w:rsidRPr="00F430FA" w:rsidRDefault="00A06882" w:rsidP="00E25C7B">
            <w:pPr>
              <w:tabs>
                <w:tab w:val="left" w:pos="10093"/>
              </w:tabs>
              <w:jc w:val="center"/>
              <w:rPr>
                <w:sz w:val="20"/>
                <w:szCs w:val="20"/>
                <w:lang w:eastAsia="en-US"/>
              </w:rPr>
            </w:pPr>
          </w:p>
        </w:tc>
        <w:tc>
          <w:tcPr>
            <w:tcW w:w="491" w:type="pct"/>
            <w:vMerge/>
            <w:tcBorders>
              <w:top w:val="single" w:sz="4" w:space="0" w:color="auto"/>
              <w:bottom w:val="nil"/>
            </w:tcBorders>
            <w:vAlign w:val="center"/>
          </w:tcPr>
          <w:p w:rsidR="00A06882" w:rsidRPr="00F430FA" w:rsidRDefault="00A06882" w:rsidP="00E25C7B">
            <w:pPr>
              <w:jc w:val="center"/>
              <w:rPr>
                <w:sz w:val="20"/>
                <w:szCs w:val="20"/>
                <w:lang w:eastAsia="en-US"/>
              </w:rPr>
            </w:pPr>
          </w:p>
        </w:tc>
        <w:tc>
          <w:tcPr>
            <w:tcW w:w="1525" w:type="pct"/>
            <w:tcBorders>
              <w:top w:val="double" w:sz="4" w:space="0" w:color="auto"/>
              <w:bottom w:val="double" w:sz="4" w:space="0" w:color="auto"/>
            </w:tcBorders>
          </w:tcPr>
          <w:p w:rsidR="00A06882" w:rsidRPr="00F430FA" w:rsidRDefault="00A06882" w:rsidP="00E25C7B">
            <w:pPr>
              <w:jc w:val="center"/>
              <w:rPr>
                <w:sz w:val="20"/>
                <w:szCs w:val="20"/>
                <w:lang w:eastAsia="en-US"/>
              </w:rPr>
            </w:pPr>
            <w:r w:rsidRPr="00F430FA">
              <w:rPr>
                <w:b/>
                <w:bCs/>
                <w:sz w:val="20"/>
                <w:szCs w:val="20"/>
                <w:lang w:eastAsia="en-US"/>
              </w:rPr>
              <w:t>№ на поземлен имот</w:t>
            </w:r>
            <w:r w:rsidRPr="00F430FA">
              <w:rPr>
                <w:sz w:val="20"/>
                <w:szCs w:val="20"/>
                <w:lang w:eastAsia="en-US"/>
              </w:rPr>
              <w:t xml:space="preserve"> 198004</w:t>
            </w:r>
          </w:p>
          <w:p w:rsidR="00A06882" w:rsidRPr="00F430FA" w:rsidRDefault="00A06882" w:rsidP="00E25C7B">
            <w:pPr>
              <w:jc w:val="center"/>
              <w:rPr>
                <w:sz w:val="20"/>
                <w:szCs w:val="20"/>
                <w:lang w:eastAsia="en-US"/>
              </w:rPr>
            </w:pPr>
            <w:r w:rsidRPr="00F430FA">
              <w:rPr>
                <w:sz w:val="20"/>
                <w:szCs w:val="20"/>
                <w:lang w:eastAsia="en-US"/>
              </w:rPr>
              <w:t xml:space="preserve">с. Чупрене, ЕКАТТЕ 81757, общ. Чупрене, </w:t>
            </w:r>
            <w:proofErr w:type="spellStart"/>
            <w:r w:rsidRPr="00F430FA">
              <w:rPr>
                <w:sz w:val="20"/>
                <w:szCs w:val="20"/>
                <w:lang w:eastAsia="en-US"/>
              </w:rPr>
              <w:t>м.“Бела</w:t>
            </w:r>
            <w:proofErr w:type="spellEnd"/>
            <w:r w:rsidRPr="00F430FA">
              <w:rPr>
                <w:sz w:val="20"/>
                <w:szCs w:val="20"/>
                <w:lang w:eastAsia="en-US"/>
              </w:rPr>
              <w:t xml:space="preserve"> вода“</w:t>
            </w:r>
          </w:p>
        </w:tc>
        <w:tc>
          <w:tcPr>
            <w:tcW w:w="624" w:type="pct"/>
            <w:tcBorders>
              <w:top w:val="double" w:sz="4" w:space="0" w:color="auto"/>
              <w:bottom w:val="double" w:sz="4" w:space="0" w:color="auto"/>
            </w:tcBorders>
            <w:vAlign w:val="center"/>
          </w:tcPr>
          <w:p w:rsidR="00A06882" w:rsidRPr="00F430FA" w:rsidRDefault="00A06882" w:rsidP="00E25C7B">
            <w:pPr>
              <w:tabs>
                <w:tab w:val="left" w:pos="10093"/>
              </w:tabs>
              <w:jc w:val="center"/>
              <w:rPr>
                <w:sz w:val="20"/>
                <w:szCs w:val="20"/>
                <w:lang w:eastAsia="en-US"/>
              </w:rPr>
            </w:pPr>
            <w:r w:rsidRPr="00F430FA">
              <w:rPr>
                <w:sz w:val="20"/>
                <w:szCs w:val="20"/>
                <w:lang w:eastAsia="en-US"/>
              </w:rPr>
              <w:t>6,039</w:t>
            </w:r>
          </w:p>
        </w:tc>
        <w:tc>
          <w:tcPr>
            <w:tcW w:w="569" w:type="pct"/>
            <w:tcBorders>
              <w:top w:val="double" w:sz="4" w:space="0" w:color="auto"/>
              <w:bottom w:val="double" w:sz="4" w:space="0" w:color="auto"/>
            </w:tcBorders>
            <w:vAlign w:val="center"/>
          </w:tcPr>
          <w:p w:rsidR="00A06882" w:rsidRPr="00F430FA" w:rsidRDefault="00A06882" w:rsidP="00E25C7B">
            <w:pPr>
              <w:tabs>
                <w:tab w:val="left" w:pos="10093"/>
              </w:tabs>
              <w:jc w:val="center"/>
              <w:rPr>
                <w:bCs/>
                <w:sz w:val="20"/>
                <w:szCs w:val="20"/>
                <w:lang w:eastAsia="en-US"/>
              </w:rPr>
            </w:pPr>
            <w:r w:rsidRPr="00F430FA">
              <w:rPr>
                <w:sz w:val="20"/>
                <w:szCs w:val="20"/>
                <w:lang w:eastAsia="en-US"/>
              </w:rPr>
              <w:t>181,00</w:t>
            </w:r>
          </w:p>
        </w:tc>
        <w:tc>
          <w:tcPr>
            <w:tcW w:w="493" w:type="pct"/>
            <w:vMerge/>
            <w:tcBorders>
              <w:top w:val="double" w:sz="4" w:space="0" w:color="auto"/>
              <w:bottom w:val="nil"/>
            </w:tcBorders>
            <w:vAlign w:val="center"/>
          </w:tcPr>
          <w:p w:rsidR="00A06882" w:rsidRPr="00F430FA" w:rsidRDefault="00A06882" w:rsidP="00E25C7B">
            <w:pPr>
              <w:tabs>
                <w:tab w:val="left" w:pos="10093"/>
              </w:tabs>
              <w:jc w:val="center"/>
              <w:rPr>
                <w:sz w:val="20"/>
                <w:szCs w:val="20"/>
                <w:lang w:eastAsia="en-US"/>
              </w:rPr>
            </w:pPr>
          </w:p>
        </w:tc>
        <w:tc>
          <w:tcPr>
            <w:tcW w:w="563" w:type="pct"/>
            <w:vMerge/>
            <w:tcBorders>
              <w:top w:val="single" w:sz="4" w:space="0" w:color="auto"/>
              <w:bottom w:val="nil"/>
            </w:tcBorders>
            <w:vAlign w:val="center"/>
          </w:tcPr>
          <w:p w:rsidR="00A06882" w:rsidRPr="00F430FA" w:rsidRDefault="00A06882" w:rsidP="00E25C7B">
            <w:pPr>
              <w:tabs>
                <w:tab w:val="left" w:pos="10093"/>
              </w:tabs>
              <w:jc w:val="center"/>
              <w:rPr>
                <w:sz w:val="20"/>
                <w:szCs w:val="20"/>
                <w:lang w:eastAsia="en-US"/>
              </w:rPr>
            </w:pPr>
          </w:p>
        </w:tc>
      </w:tr>
      <w:tr w:rsidR="00A06882" w:rsidRPr="00F430FA" w:rsidTr="00E25C7B">
        <w:trPr>
          <w:trHeight w:val="336"/>
          <w:jc w:val="center"/>
        </w:trPr>
        <w:tc>
          <w:tcPr>
            <w:tcW w:w="734" w:type="pct"/>
            <w:vMerge/>
            <w:tcBorders>
              <w:top w:val="double" w:sz="4" w:space="0" w:color="auto"/>
              <w:bottom w:val="single" w:sz="4" w:space="0" w:color="auto"/>
            </w:tcBorders>
            <w:vAlign w:val="center"/>
          </w:tcPr>
          <w:p w:rsidR="00A06882" w:rsidRPr="00F430FA" w:rsidRDefault="00A06882" w:rsidP="00E25C7B">
            <w:pPr>
              <w:tabs>
                <w:tab w:val="left" w:pos="10093"/>
              </w:tabs>
              <w:jc w:val="center"/>
              <w:rPr>
                <w:sz w:val="20"/>
                <w:szCs w:val="20"/>
                <w:lang w:eastAsia="en-US"/>
              </w:rPr>
            </w:pPr>
          </w:p>
        </w:tc>
        <w:tc>
          <w:tcPr>
            <w:tcW w:w="491" w:type="pct"/>
            <w:vMerge/>
            <w:tcBorders>
              <w:top w:val="single" w:sz="4" w:space="0" w:color="auto"/>
              <w:bottom w:val="nil"/>
            </w:tcBorders>
            <w:vAlign w:val="center"/>
          </w:tcPr>
          <w:p w:rsidR="00A06882" w:rsidRPr="00F430FA" w:rsidRDefault="00A06882" w:rsidP="00E25C7B">
            <w:pPr>
              <w:jc w:val="center"/>
              <w:rPr>
                <w:sz w:val="20"/>
                <w:szCs w:val="20"/>
                <w:lang w:eastAsia="en-US"/>
              </w:rPr>
            </w:pPr>
          </w:p>
        </w:tc>
        <w:tc>
          <w:tcPr>
            <w:tcW w:w="1525" w:type="pct"/>
            <w:tcBorders>
              <w:top w:val="double" w:sz="4" w:space="0" w:color="auto"/>
              <w:bottom w:val="double" w:sz="4" w:space="0" w:color="auto"/>
            </w:tcBorders>
          </w:tcPr>
          <w:p w:rsidR="00A06882" w:rsidRPr="00F430FA" w:rsidRDefault="00A06882" w:rsidP="00E25C7B">
            <w:pPr>
              <w:jc w:val="center"/>
              <w:rPr>
                <w:sz w:val="20"/>
                <w:szCs w:val="20"/>
                <w:lang w:eastAsia="en-US"/>
              </w:rPr>
            </w:pPr>
            <w:r w:rsidRPr="00F430FA">
              <w:rPr>
                <w:b/>
                <w:bCs/>
                <w:sz w:val="20"/>
                <w:szCs w:val="20"/>
                <w:lang w:eastAsia="en-US"/>
              </w:rPr>
              <w:t>№ на поземлен имот</w:t>
            </w:r>
            <w:r w:rsidRPr="00F430FA">
              <w:rPr>
                <w:sz w:val="20"/>
                <w:szCs w:val="20"/>
                <w:lang w:eastAsia="en-US"/>
              </w:rPr>
              <w:t xml:space="preserve"> 198002</w:t>
            </w:r>
          </w:p>
          <w:p w:rsidR="00A06882" w:rsidRPr="00F430FA" w:rsidRDefault="00A06882" w:rsidP="00E25C7B">
            <w:pPr>
              <w:jc w:val="center"/>
              <w:rPr>
                <w:sz w:val="20"/>
                <w:szCs w:val="20"/>
                <w:lang w:eastAsia="en-US"/>
              </w:rPr>
            </w:pPr>
            <w:r w:rsidRPr="00F430FA">
              <w:rPr>
                <w:sz w:val="20"/>
                <w:szCs w:val="20"/>
                <w:lang w:eastAsia="en-US"/>
              </w:rPr>
              <w:t xml:space="preserve">с. Чупрене, ЕКАТТЕ 81757, общ. Чупрене, </w:t>
            </w:r>
            <w:proofErr w:type="spellStart"/>
            <w:r w:rsidRPr="00F430FA">
              <w:rPr>
                <w:sz w:val="20"/>
                <w:szCs w:val="20"/>
                <w:lang w:eastAsia="en-US"/>
              </w:rPr>
              <w:t>м.“Бела</w:t>
            </w:r>
            <w:proofErr w:type="spellEnd"/>
            <w:r w:rsidRPr="00F430FA">
              <w:rPr>
                <w:sz w:val="20"/>
                <w:szCs w:val="20"/>
                <w:lang w:eastAsia="en-US"/>
              </w:rPr>
              <w:t xml:space="preserve"> вода</w:t>
            </w:r>
            <w:r w:rsidRPr="00F430FA">
              <w:rPr>
                <w:b/>
                <w:bCs/>
                <w:sz w:val="20"/>
                <w:szCs w:val="20"/>
                <w:lang w:eastAsia="en-US"/>
              </w:rPr>
              <w:t xml:space="preserve"> </w:t>
            </w:r>
          </w:p>
        </w:tc>
        <w:tc>
          <w:tcPr>
            <w:tcW w:w="624" w:type="pct"/>
            <w:tcBorders>
              <w:top w:val="double" w:sz="4" w:space="0" w:color="auto"/>
              <w:bottom w:val="double" w:sz="4" w:space="0" w:color="auto"/>
            </w:tcBorders>
            <w:vAlign w:val="center"/>
          </w:tcPr>
          <w:p w:rsidR="00A06882" w:rsidRPr="00F430FA" w:rsidRDefault="00A06882" w:rsidP="00E25C7B">
            <w:pPr>
              <w:tabs>
                <w:tab w:val="left" w:pos="10093"/>
              </w:tabs>
              <w:jc w:val="center"/>
              <w:rPr>
                <w:sz w:val="20"/>
                <w:szCs w:val="20"/>
                <w:lang w:eastAsia="en-US"/>
              </w:rPr>
            </w:pPr>
            <w:r w:rsidRPr="00F430FA">
              <w:rPr>
                <w:sz w:val="20"/>
                <w:szCs w:val="20"/>
                <w:lang w:eastAsia="en-US"/>
              </w:rPr>
              <w:t>10,404</w:t>
            </w:r>
          </w:p>
        </w:tc>
        <w:tc>
          <w:tcPr>
            <w:tcW w:w="569" w:type="pct"/>
            <w:tcBorders>
              <w:top w:val="double" w:sz="4" w:space="0" w:color="auto"/>
              <w:bottom w:val="double" w:sz="4" w:space="0" w:color="auto"/>
            </w:tcBorders>
            <w:vAlign w:val="center"/>
          </w:tcPr>
          <w:p w:rsidR="00A06882" w:rsidRPr="00F430FA" w:rsidRDefault="00A06882" w:rsidP="00E25C7B">
            <w:pPr>
              <w:tabs>
                <w:tab w:val="left" w:pos="10093"/>
              </w:tabs>
              <w:jc w:val="center"/>
              <w:rPr>
                <w:sz w:val="20"/>
                <w:szCs w:val="20"/>
                <w:lang w:eastAsia="en-US"/>
              </w:rPr>
            </w:pPr>
            <w:r w:rsidRPr="00F430FA">
              <w:rPr>
                <w:sz w:val="20"/>
                <w:szCs w:val="20"/>
                <w:lang w:eastAsia="en-US"/>
              </w:rPr>
              <w:t>312,00</w:t>
            </w:r>
          </w:p>
        </w:tc>
        <w:tc>
          <w:tcPr>
            <w:tcW w:w="493" w:type="pct"/>
            <w:vMerge/>
            <w:tcBorders>
              <w:top w:val="double" w:sz="4" w:space="0" w:color="auto"/>
              <w:bottom w:val="nil"/>
            </w:tcBorders>
            <w:vAlign w:val="center"/>
          </w:tcPr>
          <w:p w:rsidR="00A06882" w:rsidRPr="00F430FA" w:rsidRDefault="00A06882" w:rsidP="00E25C7B">
            <w:pPr>
              <w:tabs>
                <w:tab w:val="left" w:pos="10093"/>
              </w:tabs>
              <w:jc w:val="center"/>
              <w:rPr>
                <w:sz w:val="20"/>
                <w:szCs w:val="20"/>
                <w:lang w:eastAsia="en-US"/>
              </w:rPr>
            </w:pPr>
          </w:p>
        </w:tc>
        <w:tc>
          <w:tcPr>
            <w:tcW w:w="563" w:type="pct"/>
            <w:vMerge/>
            <w:tcBorders>
              <w:top w:val="single" w:sz="4" w:space="0" w:color="auto"/>
              <w:bottom w:val="nil"/>
            </w:tcBorders>
            <w:vAlign w:val="center"/>
          </w:tcPr>
          <w:p w:rsidR="00A06882" w:rsidRPr="00F430FA" w:rsidRDefault="00A06882" w:rsidP="00E25C7B">
            <w:pPr>
              <w:tabs>
                <w:tab w:val="left" w:pos="10093"/>
              </w:tabs>
              <w:jc w:val="center"/>
              <w:rPr>
                <w:sz w:val="20"/>
                <w:szCs w:val="20"/>
                <w:lang w:eastAsia="en-US"/>
              </w:rPr>
            </w:pPr>
          </w:p>
        </w:tc>
      </w:tr>
      <w:tr w:rsidR="00A06882" w:rsidRPr="00F430FA" w:rsidTr="00E25C7B">
        <w:trPr>
          <w:trHeight w:val="336"/>
          <w:jc w:val="center"/>
        </w:trPr>
        <w:tc>
          <w:tcPr>
            <w:tcW w:w="734" w:type="pct"/>
            <w:vMerge/>
            <w:tcBorders>
              <w:top w:val="double" w:sz="4" w:space="0" w:color="auto"/>
              <w:bottom w:val="single" w:sz="4" w:space="0" w:color="auto"/>
            </w:tcBorders>
            <w:vAlign w:val="center"/>
          </w:tcPr>
          <w:p w:rsidR="00A06882" w:rsidRPr="00F430FA" w:rsidRDefault="00A06882" w:rsidP="00E25C7B">
            <w:pPr>
              <w:tabs>
                <w:tab w:val="left" w:pos="10093"/>
              </w:tabs>
              <w:jc w:val="center"/>
              <w:rPr>
                <w:sz w:val="20"/>
                <w:szCs w:val="20"/>
                <w:lang w:eastAsia="en-US"/>
              </w:rPr>
            </w:pPr>
          </w:p>
        </w:tc>
        <w:tc>
          <w:tcPr>
            <w:tcW w:w="491" w:type="pct"/>
            <w:vMerge/>
            <w:tcBorders>
              <w:top w:val="single" w:sz="4" w:space="0" w:color="auto"/>
              <w:bottom w:val="nil"/>
            </w:tcBorders>
            <w:vAlign w:val="center"/>
          </w:tcPr>
          <w:p w:rsidR="00A06882" w:rsidRPr="00F430FA" w:rsidRDefault="00A06882" w:rsidP="00E25C7B">
            <w:pPr>
              <w:jc w:val="center"/>
              <w:rPr>
                <w:sz w:val="20"/>
                <w:szCs w:val="20"/>
                <w:lang w:eastAsia="en-US"/>
              </w:rPr>
            </w:pPr>
          </w:p>
        </w:tc>
        <w:tc>
          <w:tcPr>
            <w:tcW w:w="1525" w:type="pct"/>
            <w:tcBorders>
              <w:top w:val="double" w:sz="4" w:space="0" w:color="auto"/>
              <w:bottom w:val="double" w:sz="4" w:space="0" w:color="auto"/>
            </w:tcBorders>
          </w:tcPr>
          <w:p w:rsidR="00A06882" w:rsidRPr="00F430FA" w:rsidRDefault="00A06882" w:rsidP="00E25C7B">
            <w:pPr>
              <w:jc w:val="center"/>
              <w:rPr>
                <w:sz w:val="20"/>
                <w:szCs w:val="20"/>
                <w:lang w:eastAsia="en-US"/>
              </w:rPr>
            </w:pPr>
            <w:r w:rsidRPr="00F430FA">
              <w:rPr>
                <w:b/>
                <w:bCs/>
                <w:sz w:val="20"/>
                <w:szCs w:val="20"/>
                <w:lang w:eastAsia="en-US"/>
              </w:rPr>
              <w:t>№ на поземлен имот</w:t>
            </w:r>
            <w:r w:rsidRPr="00F430FA">
              <w:rPr>
                <w:sz w:val="20"/>
                <w:szCs w:val="20"/>
                <w:lang w:eastAsia="en-US"/>
              </w:rPr>
              <w:t xml:space="preserve"> 000224</w:t>
            </w:r>
          </w:p>
          <w:p w:rsidR="00A06882" w:rsidRPr="00F430FA" w:rsidRDefault="00A06882" w:rsidP="00E25C7B">
            <w:pPr>
              <w:jc w:val="center"/>
              <w:rPr>
                <w:sz w:val="20"/>
                <w:szCs w:val="20"/>
                <w:lang w:eastAsia="en-US"/>
              </w:rPr>
            </w:pPr>
            <w:r w:rsidRPr="00F430FA">
              <w:rPr>
                <w:sz w:val="20"/>
                <w:szCs w:val="20"/>
                <w:lang w:eastAsia="en-US"/>
              </w:rPr>
              <w:t xml:space="preserve">с. Чупрене, ЕКАТТЕ 81757, общ. Чупрене, </w:t>
            </w:r>
            <w:proofErr w:type="spellStart"/>
            <w:r w:rsidRPr="00F430FA">
              <w:rPr>
                <w:sz w:val="20"/>
                <w:szCs w:val="20"/>
                <w:lang w:eastAsia="en-US"/>
              </w:rPr>
              <w:t>м.“Голема</w:t>
            </w:r>
            <w:proofErr w:type="spellEnd"/>
            <w:r w:rsidRPr="00F430FA">
              <w:rPr>
                <w:sz w:val="20"/>
                <w:szCs w:val="20"/>
                <w:lang w:eastAsia="en-US"/>
              </w:rPr>
              <w:t xml:space="preserve"> река</w:t>
            </w:r>
            <w:r w:rsidRPr="00F430FA">
              <w:rPr>
                <w:bCs/>
                <w:sz w:val="20"/>
                <w:szCs w:val="20"/>
                <w:lang w:eastAsia="en-US"/>
              </w:rPr>
              <w:t>“</w:t>
            </w:r>
          </w:p>
        </w:tc>
        <w:tc>
          <w:tcPr>
            <w:tcW w:w="624" w:type="pct"/>
            <w:tcBorders>
              <w:top w:val="double" w:sz="4" w:space="0" w:color="auto"/>
              <w:bottom w:val="double" w:sz="4" w:space="0" w:color="auto"/>
            </w:tcBorders>
            <w:vAlign w:val="center"/>
          </w:tcPr>
          <w:p w:rsidR="00A06882" w:rsidRPr="00F430FA" w:rsidRDefault="00A06882" w:rsidP="00E25C7B">
            <w:pPr>
              <w:tabs>
                <w:tab w:val="left" w:pos="10093"/>
              </w:tabs>
              <w:jc w:val="center"/>
              <w:rPr>
                <w:sz w:val="20"/>
                <w:szCs w:val="20"/>
                <w:lang w:eastAsia="en-US"/>
              </w:rPr>
            </w:pPr>
            <w:r w:rsidRPr="00F430FA">
              <w:rPr>
                <w:sz w:val="20"/>
                <w:szCs w:val="20"/>
                <w:lang w:eastAsia="en-US"/>
              </w:rPr>
              <w:t>10,585</w:t>
            </w:r>
          </w:p>
        </w:tc>
        <w:tc>
          <w:tcPr>
            <w:tcW w:w="569" w:type="pct"/>
            <w:tcBorders>
              <w:top w:val="double" w:sz="4" w:space="0" w:color="auto"/>
              <w:bottom w:val="double" w:sz="4" w:space="0" w:color="auto"/>
            </w:tcBorders>
            <w:vAlign w:val="center"/>
          </w:tcPr>
          <w:p w:rsidR="00A06882" w:rsidRPr="00F430FA" w:rsidRDefault="00A06882" w:rsidP="00E25C7B">
            <w:pPr>
              <w:tabs>
                <w:tab w:val="left" w:pos="10093"/>
              </w:tabs>
              <w:jc w:val="center"/>
              <w:rPr>
                <w:sz w:val="20"/>
                <w:szCs w:val="20"/>
                <w:lang w:eastAsia="en-US"/>
              </w:rPr>
            </w:pPr>
            <w:r w:rsidRPr="00F430FA">
              <w:rPr>
                <w:sz w:val="20"/>
                <w:szCs w:val="20"/>
                <w:lang w:eastAsia="en-US"/>
              </w:rPr>
              <w:t>357,00</w:t>
            </w:r>
          </w:p>
        </w:tc>
        <w:tc>
          <w:tcPr>
            <w:tcW w:w="493" w:type="pct"/>
            <w:vMerge/>
            <w:tcBorders>
              <w:top w:val="double" w:sz="4" w:space="0" w:color="auto"/>
              <w:bottom w:val="nil"/>
            </w:tcBorders>
            <w:vAlign w:val="center"/>
          </w:tcPr>
          <w:p w:rsidR="00A06882" w:rsidRPr="00F430FA" w:rsidRDefault="00A06882" w:rsidP="00E25C7B">
            <w:pPr>
              <w:tabs>
                <w:tab w:val="left" w:pos="10093"/>
              </w:tabs>
              <w:jc w:val="center"/>
              <w:rPr>
                <w:sz w:val="20"/>
                <w:szCs w:val="20"/>
                <w:lang w:eastAsia="en-US"/>
              </w:rPr>
            </w:pPr>
          </w:p>
        </w:tc>
        <w:tc>
          <w:tcPr>
            <w:tcW w:w="563" w:type="pct"/>
            <w:vMerge/>
            <w:tcBorders>
              <w:top w:val="single" w:sz="4" w:space="0" w:color="auto"/>
              <w:bottom w:val="nil"/>
            </w:tcBorders>
            <w:vAlign w:val="center"/>
          </w:tcPr>
          <w:p w:rsidR="00A06882" w:rsidRPr="00F430FA" w:rsidRDefault="00A06882" w:rsidP="00E25C7B">
            <w:pPr>
              <w:tabs>
                <w:tab w:val="left" w:pos="10093"/>
              </w:tabs>
              <w:jc w:val="center"/>
              <w:rPr>
                <w:sz w:val="20"/>
                <w:szCs w:val="20"/>
                <w:lang w:eastAsia="en-US"/>
              </w:rPr>
            </w:pPr>
          </w:p>
        </w:tc>
      </w:tr>
      <w:tr w:rsidR="00A06882" w:rsidRPr="00F430FA" w:rsidTr="00E25C7B">
        <w:trPr>
          <w:trHeight w:val="174"/>
          <w:jc w:val="center"/>
        </w:trPr>
        <w:tc>
          <w:tcPr>
            <w:tcW w:w="2750" w:type="pct"/>
            <w:gridSpan w:val="3"/>
            <w:vAlign w:val="center"/>
          </w:tcPr>
          <w:p w:rsidR="00A06882" w:rsidRPr="00F430FA" w:rsidRDefault="00A06882" w:rsidP="00E25C7B">
            <w:pPr>
              <w:tabs>
                <w:tab w:val="left" w:pos="10093"/>
              </w:tabs>
              <w:rPr>
                <w:b/>
                <w:sz w:val="20"/>
                <w:szCs w:val="20"/>
                <w:lang w:eastAsia="en-US"/>
              </w:rPr>
            </w:pPr>
            <w:r w:rsidRPr="00F430FA">
              <w:rPr>
                <w:b/>
                <w:sz w:val="20"/>
                <w:szCs w:val="20"/>
                <w:lang w:eastAsia="en-US"/>
              </w:rPr>
              <w:t>Общо за ТП „ДГС - Миджур“</w:t>
            </w:r>
          </w:p>
        </w:tc>
        <w:tc>
          <w:tcPr>
            <w:tcW w:w="624" w:type="pct"/>
            <w:tcBorders>
              <w:top w:val="double" w:sz="4" w:space="0" w:color="auto"/>
            </w:tcBorders>
            <w:vAlign w:val="center"/>
          </w:tcPr>
          <w:p w:rsidR="00A06882" w:rsidRPr="00F430FA" w:rsidRDefault="00A06882" w:rsidP="00E25C7B">
            <w:pPr>
              <w:tabs>
                <w:tab w:val="left" w:pos="10093"/>
              </w:tabs>
              <w:jc w:val="center"/>
              <w:rPr>
                <w:b/>
                <w:sz w:val="20"/>
                <w:szCs w:val="20"/>
                <w:lang w:eastAsia="en-US"/>
              </w:rPr>
            </w:pPr>
            <w:r w:rsidRPr="00F430FA">
              <w:rPr>
                <w:b/>
                <w:sz w:val="20"/>
                <w:szCs w:val="20"/>
                <w:lang w:eastAsia="en-US"/>
              </w:rPr>
              <w:t>45,497</w:t>
            </w:r>
          </w:p>
        </w:tc>
        <w:tc>
          <w:tcPr>
            <w:tcW w:w="569" w:type="pct"/>
            <w:tcBorders>
              <w:top w:val="double" w:sz="4" w:space="0" w:color="auto"/>
            </w:tcBorders>
            <w:vAlign w:val="center"/>
          </w:tcPr>
          <w:p w:rsidR="00A06882" w:rsidRPr="00F430FA" w:rsidRDefault="00A06882" w:rsidP="00E25C7B">
            <w:pPr>
              <w:tabs>
                <w:tab w:val="left" w:pos="10093"/>
              </w:tabs>
              <w:jc w:val="center"/>
              <w:rPr>
                <w:bCs/>
                <w:sz w:val="20"/>
                <w:szCs w:val="20"/>
                <w:lang w:eastAsia="en-US"/>
              </w:rPr>
            </w:pPr>
            <w:r w:rsidRPr="00F430FA">
              <w:rPr>
                <w:bCs/>
                <w:sz w:val="20"/>
                <w:szCs w:val="20"/>
                <w:lang w:eastAsia="en-US"/>
              </w:rPr>
              <w:t>Х</w:t>
            </w:r>
          </w:p>
        </w:tc>
        <w:tc>
          <w:tcPr>
            <w:tcW w:w="493" w:type="pct"/>
            <w:tcBorders>
              <w:top w:val="single" w:sz="4" w:space="0" w:color="auto"/>
            </w:tcBorders>
            <w:vAlign w:val="center"/>
          </w:tcPr>
          <w:p w:rsidR="00A06882" w:rsidRPr="00F430FA" w:rsidRDefault="00A06882" w:rsidP="00E25C7B">
            <w:pPr>
              <w:tabs>
                <w:tab w:val="left" w:pos="10093"/>
              </w:tabs>
              <w:jc w:val="center"/>
              <w:rPr>
                <w:bCs/>
                <w:sz w:val="20"/>
                <w:szCs w:val="20"/>
                <w:lang w:eastAsia="en-US"/>
              </w:rPr>
            </w:pPr>
            <w:r w:rsidRPr="00F430FA">
              <w:rPr>
                <w:bCs/>
                <w:sz w:val="20"/>
                <w:szCs w:val="20"/>
                <w:lang w:eastAsia="en-US"/>
              </w:rPr>
              <w:t>Х</w:t>
            </w:r>
          </w:p>
        </w:tc>
        <w:tc>
          <w:tcPr>
            <w:tcW w:w="563" w:type="pct"/>
            <w:tcBorders>
              <w:top w:val="double" w:sz="4" w:space="0" w:color="auto"/>
            </w:tcBorders>
            <w:vAlign w:val="center"/>
          </w:tcPr>
          <w:p w:rsidR="00A06882" w:rsidRPr="00F430FA" w:rsidRDefault="00A06882" w:rsidP="00E25C7B">
            <w:pPr>
              <w:tabs>
                <w:tab w:val="left" w:pos="10093"/>
              </w:tabs>
              <w:jc w:val="center"/>
              <w:rPr>
                <w:bCs/>
                <w:sz w:val="20"/>
                <w:szCs w:val="20"/>
                <w:lang w:eastAsia="en-US"/>
              </w:rPr>
            </w:pPr>
            <w:r w:rsidRPr="00F430FA">
              <w:rPr>
                <w:bCs/>
                <w:sz w:val="20"/>
                <w:szCs w:val="20"/>
                <w:lang w:eastAsia="en-US"/>
              </w:rPr>
              <w:t>Х</w:t>
            </w:r>
          </w:p>
        </w:tc>
      </w:tr>
    </w:tbl>
    <w:p w:rsidR="00A06882" w:rsidRPr="00F430FA" w:rsidRDefault="00A06882" w:rsidP="00A06882">
      <w:pPr>
        <w:ind w:firstLine="284"/>
        <w:jc w:val="both"/>
        <w:rPr>
          <w:sz w:val="20"/>
          <w:szCs w:val="20"/>
          <w:lang w:eastAsia="en-US"/>
        </w:rPr>
      </w:pPr>
    </w:p>
    <w:p w:rsidR="00A06882" w:rsidRPr="00F430FA" w:rsidRDefault="00A06882" w:rsidP="00A06882">
      <w:pPr>
        <w:ind w:firstLine="284"/>
        <w:jc w:val="both"/>
        <w:rPr>
          <w:sz w:val="20"/>
          <w:szCs w:val="20"/>
          <w:lang w:eastAsia="en-US"/>
        </w:rPr>
      </w:pPr>
      <w:r w:rsidRPr="00F430FA">
        <w:rPr>
          <w:sz w:val="20"/>
          <w:szCs w:val="20"/>
          <w:lang w:eastAsia="en-US"/>
        </w:rPr>
        <w:t xml:space="preserve">Търгът се провежда за цялата позиция. Кандидатите представят своите оферти за общата начална тръжна годишна наемна цена за позицията. Ограниченията при ползване на имотите, които трябва да спазва наемателя, са посочени в тръжните условия и проекта на договора. Вид на процедурата: търг с тайно наддаване по реда на Глава пета, във връзка с глава трета от ППЗДС. Кандидатите не могат да предлагат цени под общата начална тръжна наемна цена за позицията. Актуализацията на наемната цена за всяка следваща година се извършва, съгласно посоченото в тръжната документация. Депозитът за участие в търга в размер на 10% от общата начална тръжна годишна наемна цена за позицията, </w:t>
      </w:r>
      <w:proofErr w:type="spellStart"/>
      <w:r w:rsidRPr="00F430FA">
        <w:rPr>
          <w:sz w:val="20"/>
          <w:szCs w:val="20"/>
          <w:lang w:eastAsia="en-US"/>
        </w:rPr>
        <w:t>вносим</w:t>
      </w:r>
      <w:proofErr w:type="spellEnd"/>
      <w:r w:rsidRPr="00F430FA">
        <w:rPr>
          <w:sz w:val="20"/>
          <w:szCs w:val="20"/>
          <w:lang w:eastAsia="en-US"/>
        </w:rPr>
        <w:t xml:space="preserve"> само по банков път по сметка на ЦУ на СЦЗП ДП – гр. Враца, а именно: </w:t>
      </w:r>
      <w:r w:rsidRPr="00F430FA">
        <w:rPr>
          <w:b/>
          <w:sz w:val="20"/>
          <w:szCs w:val="20"/>
          <w:lang w:val="en-US"/>
        </w:rPr>
        <w:t>IBAN</w:t>
      </w:r>
      <w:r w:rsidRPr="00F430FA">
        <w:rPr>
          <w:b/>
          <w:sz w:val="20"/>
          <w:szCs w:val="20"/>
        </w:rPr>
        <w:t xml:space="preserve">: </w:t>
      </w:r>
      <w:r w:rsidRPr="00F430FA">
        <w:rPr>
          <w:b/>
          <w:sz w:val="20"/>
          <w:szCs w:val="20"/>
          <w:lang w:val="en-US"/>
        </w:rPr>
        <w:t xml:space="preserve"> BG</w:t>
      </w:r>
      <w:r w:rsidRPr="00F430FA">
        <w:rPr>
          <w:b/>
          <w:sz w:val="20"/>
          <w:szCs w:val="20"/>
        </w:rPr>
        <w:t>02</w:t>
      </w:r>
      <w:r w:rsidRPr="00F430FA">
        <w:rPr>
          <w:b/>
          <w:sz w:val="20"/>
          <w:szCs w:val="20"/>
          <w:lang w:val="en-US"/>
        </w:rPr>
        <w:t xml:space="preserve"> FINV 9150 1016 4105 16</w:t>
      </w:r>
      <w:r w:rsidRPr="00F430FA">
        <w:rPr>
          <w:b/>
          <w:sz w:val="20"/>
          <w:szCs w:val="20"/>
        </w:rPr>
        <w:t>;</w:t>
      </w:r>
      <w:r w:rsidRPr="00F430FA">
        <w:rPr>
          <w:b/>
          <w:sz w:val="20"/>
          <w:szCs w:val="20"/>
          <w:lang w:val="en-US"/>
        </w:rPr>
        <w:t xml:space="preserve"> BIC</w:t>
      </w:r>
      <w:r w:rsidRPr="00F430FA">
        <w:rPr>
          <w:b/>
          <w:sz w:val="20"/>
          <w:szCs w:val="20"/>
        </w:rPr>
        <w:t>:</w:t>
      </w:r>
      <w:r w:rsidRPr="00F430FA">
        <w:rPr>
          <w:b/>
          <w:sz w:val="20"/>
          <w:szCs w:val="20"/>
          <w:lang w:val="en-US"/>
        </w:rPr>
        <w:t xml:space="preserve">     FINVBGSF</w:t>
      </w:r>
      <w:r w:rsidRPr="00F430FA">
        <w:rPr>
          <w:b/>
          <w:sz w:val="20"/>
          <w:szCs w:val="20"/>
        </w:rPr>
        <w:t xml:space="preserve">; </w:t>
      </w:r>
      <w:r w:rsidRPr="00F430FA">
        <w:rPr>
          <w:b/>
          <w:sz w:val="20"/>
          <w:szCs w:val="20"/>
          <w:lang w:val="en-US"/>
        </w:rPr>
        <w:t xml:space="preserve">  </w:t>
      </w:r>
      <w:r w:rsidRPr="00F430FA">
        <w:rPr>
          <w:b/>
          <w:sz w:val="20"/>
          <w:szCs w:val="20"/>
        </w:rPr>
        <w:t>„ПЪРВА ИНВЕСТИЦИОННА БАНКА” АД, ВРАЦА</w:t>
      </w:r>
      <w:r w:rsidRPr="00F430FA">
        <w:rPr>
          <w:sz w:val="20"/>
          <w:szCs w:val="20"/>
          <w:lang w:eastAsia="en-US"/>
        </w:rPr>
        <w:t xml:space="preserve">, в срок до 16,00 часа, на последния работен ден предхождащ датата за провеждането на търга, включително. Условията и редът за връщане или задържане на депозита са съгласно тръжните условия. Цената за закупуване на тръжна документация е в размер на 100,00 лева (сто лева и нула стотинки), без ДДС. Цената не се възстановява и следва да се внесе само по банков път по сметка на ЦУ на СЗДП ДП – гр. Враца, а именно: </w:t>
      </w:r>
      <w:r w:rsidRPr="00F430FA">
        <w:rPr>
          <w:b/>
          <w:sz w:val="20"/>
          <w:szCs w:val="20"/>
          <w:lang w:val="en-US"/>
        </w:rPr>
        <w:t>IBAN</w:t>
      </w:r>
      <w:r w:rsidRPr="00F430FA">
        <w:rPr>
          <w:b/>
          <w:sz w:val="20"/>
          <w:szCs w:val="20"/>
        </w:rPr>
        <w:t xml:space="preserve">: </w:t>
      </w:r>
      <w:r w:rsidRPr="00F430FA">
        <w:rPr>
          <w:b/>
          <w:sz w:val="20"/>
          <w:szCs w:val="20"/>
          <w:lang w:val="en-US"/>
        </w:rPr>
        <w:t xml:space="preserve"> BG</w:t>
      </w:r>
      <w:r w:rsidRPr="00F430FA">
        <w:rPr>
          <w:b/>
          <w:sz w:val="20"/>
          <w:szCs w:val="20"/>
        </w:rPr>
        <w:t>02</w:t>
      </w:r>
      <w:r w:rsidRPr="00F430FA">
        <w:rPr>
          <w:b/>
          <w:sz w:val="20"/>
          <w:szCs w:val="20"/>
          <w:lang w:val="en-US"/>
        </w:rPr>
        <w:t xml:space="preserve"> FINV 9150 1016 4105 16</w:t>
      </w:r>
      <w:r w:rsidRPr="00F430FA">
        <w:rPr>
          <w:b/>
          <w:sz w:val="20"/>
          <w:szCs w:val="20"/>
        </w:rPr>
        <w:t>;</w:t>
      </w:r>
      <w:r w:rsidRPr="00F430FA">
        <w:rPr>
          <w:b/>
          <w:sz w:val="20"/>
          <w:szCs w:val="20"/>
          <w:lang w:val="en-US"/>
        </w:rPr>
        <w:t xml:space="preserve"> BIC</w:t>
      </w:r>
      <w:r w:rsidRPr="00F430FA">
        <w:rPr>
          <w:b/>
          <w:sz w:val="20"/>
          <w:szCs w:val="20"/>
        </w:rPr>
        <w:t>:</w:t>
      </w:r>
      <w:r w:rsidRPr="00F430FA">
        <w:rPr>
          <w:b/>
          <w:sz w:val="20"/>
          <w:szCs w:val="20"/>
          <w:lang w:val="en-US"/>
        </w:rPr>
        <w:t xml:space="preserve">     FINVBGSF</w:t>
      </w:r>
      <w:r w:rsidRPr="00F430FA">
        <w:rPr>
          <w:b/>
          <w:sz w:val="20"/>
          <w:szCs w:val="20"/>
        </w:rPr>
        <w:t xml:space="preserve">; </w:t>
      </w:r>
      <w:r w:rsidRPr="00F430FA">
        <w:rPr>
          <w:b/>
          <w:sz w:val="20"/>
          <w:szCs w:val="20"/>
          <w:lang w:val="en-US"/>
        </w:rPr>
        <w:t xml:space="preserve">  </w:t>
      </w:r>
      <w:r w:rsidRPr="00F430FA">
        <w:rPr>
          <w:b/>
          <w:sz w:val="20"/>
          <w:szCs w:val="20"/>
        </w:rPr>
        <w:t>„ПЪРВА ИНВЕСТИЦИОННА БАНКА” АД, ВРАЦА</w:t>
      </w:r>
      <w:r w:rsidRPr="00F430FA">
        <w:rPr>
          <w:sz w:val="20"/>
          <w:szCs w:val="20"/>
          <w:lang w:eastAsia="en-US"/>
        </w:rPr>
        <w:t>. Закупуването и получаването на документацията се извършва всеки работен ден от 09,00 часа до 16,00 часа на последния работен ден предхождащ датата на провеждането на търга, включително, след представяне на документ за закупуването ѝ.</w:t>
      </w:r>
    </w:p>
    <w:p w:rsidR="00A06882" w:rsidRPr="00F430FA" w:rsidRDefault="00A06882" w:rsidP="00A06882">
      <w:pPr>
        <w:ind w:firstLine="284"/>
        <w:jc w:val="both"/>
        <w:rPr>
          <w:sz w:val="20"/>
          <w:szCs w:val="20"/>
          <w:lang w:eastAsia="en-US"/>
        </w:rPr>
      </w:pPr>
      <w:r w:rsidRPr="00F430FA">
        <w:rPr>
          <w:sz w:val="20"/>
          <w:szCs w:val="20"/>
          <w:lang w:eastAsia="en-US"/>
        </w:rPr>
        <w:t>Заявление и документи за участие в търга се депозира в деловодството на ЦУ на СЗДП ДП – гр. Враца, ул. „Христо Ботев“ № 2, ет.3, всеки работен ден от 09,00 часа до 16,00 часа на последния работен ден, предхождащ провеждането на търга, включително, като същите се подават лично или чрез пълномощник с нотариално заверено пълномощно или по пощата с препоръчано писмо с обратна разписка.</w:t>
      </w:r>
    </w:p>
    <w:p w:rsidR="00A06882" w:rsidRPr="00F430FA" w:rsidRDefault="00A06882" w:rsidP="00A06882">
      <w:pPr>
        <w:tabs>
          <w:tab w:val="left" w:pos="5940"/>
        </w:tabs>
        <w:ind w:firstLine="284"/>
        <w:jc w:val="both"/>
        <w:rPr>
          <w:sz w:val="20"/>
          <w:szCs w:val="20"/>
          <w:lang w:eastAsia="en-US"/>
        </w:rPr>
      </w:pPr>
      <w:r w:rsidRPr="00F430FA">
        <w:rPr>
          <w:sz w:val="20"/>
          <w:szCs w:val="20"/>
          <w:lang w:eastAsia="en-US"/>
        </w:rPr>
        <w:t xml:space="preserve">Оглед на имотите може да се извършва, всеки работен ден от 09,00 часа до 16,00 часа на последния работен ден, предхождащ провеждането на търга, включително, след представяне от кандидата на платежен документ за закупена документация за участие и в присъствието на представител на ТП „ДГС Миджур“ – </w:t>
      </w:r>
      <w:proofErr w:type="spellStart"/>
      <w:r w:rsidRPr="00F430FA">
        <w:rPr>
          <w:sz w:val="20"/>
          <w:szCs w:val="20"/>
          <w:lang w:eastAsia="en-US"/>
        </w:rPr>
        <w:t>с.Чупрене</w:t>
      </w:r>
      <w:proofErr w:type="spellEnd"/>
      <w:r w:rsidRPr="00F430FA">
        <w:rPr>
          <w:sz w:val="20"/>
          <w:szCs w:val="20"/>
          <w:lang w:eastAsia="en-US"/>
        </w:rPr>
        <w:t>. Разходите за извършване на огледа са за сметка на кандидата. Търгът да се проведе на</w:t>
      </w:r>
      <w:r w:rsidRPr="00F430FA">
        <w:rPr>
          <w:sz w:val="20"/>
          <w:szCs w:val="20"/>
          <w:lang w:val="en-US" w:eastAsia="en-US"/>
        </w:rPr>
        <w:t xml:space="preserve"> </w:t>
      </w:r>
      <w:r w:rsidRPr="00F430FA">
        <w:rPr>
          <w:sz w:val="20"/>
          <w:szCs w:val="20"/>
          <w:lang w:eastAsia="en-US"/>
        </w:rPr>
        <w:t xml:space="preserve">09.02.2016 г. от </w:t>
      </w:r>
      <w:r w:rsidRPr="00F430FA">
        <w:rPr>
          <w:b/>
          <w:sz w:val="20"/>
          <w:szCs w:val="20"/>
          <w:lang w:eastAsia="en-US"/>
        </w:rPr>
        <w:t>10,00 часа</w:t>
      </w:r>
      <w:r w:rsidRPr="00F430FA">
        <w:rPr>
          <w:sz w:val="20"/>
          <w:szCs w:val="20"/>
          <w:lang w:eastAsia="en-US"/>
        </w:rPr>
        <w:t xml:space="preserve"> в административната сграда на ЦУ на СЗДП ДП – гр. гр. Враца, ул. „Христо Ботев“ № 2, ет.3. Повторен търг да се проведе на 25.02.2016г. от 10.00 на същото място, при случаите - съгласно утвърдената тръжна документация.</w:t>
      </w:r>
    </w:p>
    <w:p w:rsidR="00A06882" w:rsidRPr="00F430FA" w:rsidRDefault="00A06882" w:rsidP="00A06882">
      <w:pPr>
        <w:ind w:firstLine="284"/>
        <w:jc w:val="both"/>
        <w:rPr>
          <w:sz w:val="20"/>
          <w:szCs w:val="20"/>
          <w:lang w:eastAsia="en-US"/>
        </w:rPr>
      </w:pPr>
    </w:p>
    <w:p w:rsidR="00A06882" w:rsidRPr="00F430FA" w:rsidRDefault="00A06882" w:rsidP="00A06882">
      <w:pPr>
        <w:ind w:firstLine="284"/>
        <w:jc w:val="both"/>
        <w:rPr>
          <w:sz w:val="20"/>
          <w:szCs w:val="20"/>
          <w:lang w:eastAsia="en-US"/>
        </w:rPr>
      </w:pPr>
    </w:p>
    <w:p w:rsidR="00A06882" w:rsidRPr="00F430FA" w:rsidRDefault="00A06882" w:rsidP="00A06882">
      <w:pPr>
        <w:ind w:firstLine="284"/>
        <w:jc w:val="both"/>
        <w:rPr>
          <w:sz w:val="20"/>
          <w:szCs w:val="20"/>
          <w:lang w:eastAsia="en-US"/>
        </w:rPr>
      </w:pPr>
    </w:p>
    <w:p w:rsidR="00A06882" w:rsidRPr="00F430FA" w:rsidRDefault="00A06882" w:rsidP="00A06882">
      <w:pPr>
        <w:ind w:firstLine="284"/>
        <w:jc w:val="both"/>
        <w:rPr>
          <w:sz w:val="20"/>
          <w:szCs w:val="20"/>
          <w:lang w:eastAsia="en-US"/>
        </w:rPr>
      </w:pPr>
    </w:p>
    <w:p w:rsidR="00A06882" w:rsidRPr="00F430FA" w:rsidRDefault="00A06882" w:rsidP="00A06882">
      <w:pPr>
        <w:ind w:firstLine="284"/>
        <w:jc w:val="both"/>
        <w:rPr>
          <w:sz w:val="20"/>
          <w:szCs w:val="20"/>
          <w:lang w:eastAsia="en-US"/>
        </w:rPr>
      </w:pPr>
    </w:p>
    <w:p w:rsidR="00A06882" w:rsidRPr="00F430FA" w:rsidRDefault="00A06882" w:rsidP="00A06882">
      <w:pPr>
        <w:ind w:firstLine="284"/>
        <w:jc w:val="both"/>
        <w:rPr>
          <w:sz w:val="20"/>
          <w:szCs w:val="20"/>
          <w:lang w:eastAsia="en-US"/>
        </w:rPr>
      </w:pPr>
    </w:p>
    <w:p w:rsidR="00A06882" w:rsidRPr="00F430FA" w:rsidRDefault="00A06882" w:rsidP="00A06882">
      <w:pPr>
        <w:ind w:firstLine="284"/>
        <w:jc w:val="both"/>
        <w:rPr>
          <w:sz w:val="20"/>
          <w:szCs w:val="20"/>
          <w:lang w:eastAsia="en-US"/>
        </w:rPr>
      </w:pPr>
    </w:p>
    <w:p w:rsidR="004407F9" w:rsidRPr="00F430FA" w:rsidRDefault="004407F9">
      <w:pPr>
        <w:rPr>
          <w:sz w:val="20"/>
          <w:szCs w:val="20"/>
        </w:rPr>
      </w:pPr>
    </w:p>
    <w:sectPr w:rsidR="004407F9" w:rsidRPr="00F430FA" w:rsidSect="00671CC8">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1BC"/>
    <w:rsid w:val="002161BC"/>
    <w:rsid w:val="003C5854"/>
    <w:rsid w:val="004407F9"/>
    <w:rsid w:val="00671CC8"/>
    <w:rsid w:val="009F5EDB"/>
    <w:rsid w:val="00A06882"/>
    <w:rsid w:val="00A2019F"/>
    <w:rsid w:val="00F430F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8B183C-1A1C-4697-AC40-EAAD7F0A9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6882"/>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581</Words>
  <Characters>3315</Characters>
  <Application>Microsoft Office Word</Application>
  <DocSecurity>0</DocSecurity>
  <Lines>27</Lines>
  <Paragraphs>7</Paragraphs>
  <ScaleCrop>false</ScaleCrop>
  <Company/>
  <LinksUpToDate>false</LinksUpToDate>
  <CharactersWithSpaces>3889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North-West-DP</dc:creator>
  <cp:keywords/>
  <dc:description/>
  <cp:lastModifiedBy>Szdp Vratza</cp:lastModifiedBy>
  <cp:revision>10</cp:revision>
  <dcterms:created xsi:type="dcterms:W3CDTF">2016-01-04T10:40:00Z</dcterms:created>
  <dcterms:modified xsi:type="dcterms:W3CDTF">2024-08-06T12:17:00Z</dcterms:modified>
</cp:coreProperties>
</file>